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2D454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A5D" w:rsidRPr="000F6A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423D2D" w:rsidRPr="0037719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DA613A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F6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6A5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2D454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23D2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076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423D2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3D2D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3D2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3D2D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2D4540">
        <w:rPr>
          <w:sz w:val="24"/>
          <w:szCs w:val="24"/>
        </w:rPr>
        <w:t>202</w:t>
      </w:r>
      <w:r w:rsidR="00423D2D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D4540">
        <w:rPr>
          <w:spacing w:val="-3"/>
          <w:sz w:val="24"/>
          <w:szCs w:val="24"/>
          <w:lang w:eastAsia="en-US"/>
        </w:rPr>
        <w:t>2</w:t>
      </w:r>
      <w:r w:rsidR="00423D2D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707608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23D2D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07608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803434">
        <w:rPr>
          <w:sz w:val="28"/>
          <w:szCs w:val="28"/>
        </w:rPr>
        <w:t xml:space="preserve">О.В </w:t>
      </w:r>
      <w:r w:rsidR="00423D2D">
        <w:rPr>
          <w:sz w:val="28"/>
          <w:szCs w:val="28"/>
        </w:rPr>
        <w:t>Волох</w:t>
      </w:r>
      <w:r w:rsidR="0080343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6B50C0">
              <w:rPr>
                <w:sz w:val="24"/>
                <w:szCs w:val="24"/>
              </w:rPr>
              <w:t>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07608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07608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7608">
        <w:rPr>
          <w:sz w:val="24"/>
          <w:szCs w:val="24"/>
          <w:lang w:eastAsia="en-US"/>
        </w:rPr>
        <w:t>2</w:t>
      </w:r>
      <w:r w:rsidR="002D4540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707608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D4540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D4540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rFonts w:ascii="Times New Roman" w:hAnsi="Times New Roman"/>
          <w:b/>
          <w:sz w:val="24"/>
          <w:szCs w:val="24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220744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220744">
              <w:rPr>
                <w:sz w:val="22"/>
                <w:szCs w:val="22"/>
              </w:rPr>
              <w:t>о-</w:t>
            </w:r>
            <w:proofErr w:type="gramEnd"/>
            <w:r w:rsidRPr="00220744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="007909B1" w:rsidRPr="007909B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7909B1" w:rsidRPr="007909B1">
              <w:rPr>
                <w:color w:val="000000"/>
                <w:sz w:val="22"/>
                <w:szCs w:val="22"/>
              </w:rPr>
              <w:t xml:space="preserve"> определять стоимость организации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FE2F09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установления пенообразующих факторов и выявления качественных характеристик, влияющих на стоимость организаций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методы организации работ по определению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влияние различных видов износа имущества на стоимость организации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особенности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знания   бухгалтерского учета,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отражать состояние и особенности организаций при их описании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пользоваться источниками информации, выявлять и отображать пенообразующие факторы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владеть навыками составления итогового документа об определении стоимостей организаций, архивирования документов, получаемых от заказчика </w:t>
            </w:r>
            <w:r w:rsidRPr="00C0437A">
              <w:rPr>
                <w:sz w:val="22"/>
                <w:szCs w:val="22"/>
              </w:rPr>
              <w:lastRenderedPageBreak/>
              <w:t>и третьих лиц в ходе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применения, полученных в результате оценки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изучение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FE2F09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FE2F09">
              <w:rPr>
                <w:sz w:val="22"/>
                <w:szCs w:val="22"/>
              </w:rPr>
              <w:t>1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УК-2; УК-4; УК-10; ПК-1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F47D52">
        <w:rPr>
          <w:b/>
          <w:sz w:val="24"/>
          <w:szCs w:val="24"/>
        </w:rPr>
        <w:t>1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778C" w:rsidRPr="00F47D52" w:rsidRDefault="002B2293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F47D52">
              <w:rPr>
                <w:rFonts w:ascii="Times New Roman" w:hAnsi="Times New Roman"/>
                <w:b/>
              </w:rPr>
              <w:t xml:space="preserve">1. </w:t>
            </w:r>
            <w:r w:rsidR="00C93F97" w:rsidRPr="00F47D52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F47D52">
              <w:rPr>
                <w:rFonts w:ascii="Times New Roman" w:hAnsi="Times New Roman"/>
                <w:b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2C778C" w:rsidRPr="00F47D5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2C778C" w:rsidRPr="00F47D52">
              <w:rPr>
                <w:rFonts w:ascii="Times New Roman" w:hAnsi="Times New Roman"/>
              </w:rPr>
              <w:t xml:space="preserve"> вида/объема деятельности, </w:t>
            </w:r>
            <w:r w:rsidR="002C778C" w:rsidRPr="00F47D52">
              <w:rPr>
                <w:rFonts w:ascii="Times New Roman" w:hAnsi="Times New Roman"/>
              </w:rPr>
              <w:lastRenderedPageBreak/>
              <w:t xml:space="preserve">численности работников/служащих и стоимость капитала с учетом отраслевых особенностей,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2C778C" w:rsidRPr="00F47D52">
              <w:rPr>
                <w:rFonts w:ascii="Times New Roman" w:hAnsi="Times New Roman"/>
              </w:rPr>
              <w:t xml:space="preserve">ОГРН,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2C778C" w:rsidRPr="00F47D52">
              <w:rPr>
                <w:rFonts w:ascii="Times New Roman" w:hAnsi="Times New Roman"/>
              </w:rPr>
              <w:t xml:space="preserve">сведения об истории организации, дата регистрации, миссия организации; </w:t>
            </w:r>
            <w:proofErr w:type="gramStart"/>
            <w:r w:rsidR="002C778C" w:rsidRPr="00F47D52">
              <w:rPr>
                <w:rFonts w:ascii="Times New Roman" w:hAnsi="Times New Roman"/>
              </w:rPr>
              <w:t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  <w:proofErr w:type="gramEnd"/>
          </w:p>
          <w:p w:rsidR="002C778C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eastAsia="Times New Roman" w:hAnsi="YS Text"/>
                <w:color w:val="000000"/>
              </w:rPr>
            </w:pPr>
            <w:r w:rsidRPr="00F47D52">
              <w:rPr>
                <w:rFonts w:ascii="Times New Roman" w:hAnsi="Times New Roman"/>
                <w:b/>
              </w:rPr>
              <w:t xml:space="preserve">2. </w:t>
            </w:r>
            <w:r w:rsidR="002C778C" w:rsidRPr="00F47D52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="002C778C" w:rsidRPr="00F47D52">
              <w:rPr>
                <w:rFonts w:ascii="YS Text" w:eastAsia="Times New Roman" w:hAnsi="YS Text" w:hint="eastAsia"/>
                <w:color w:val="000000"/>
              </w:rPr>
              <w:t>х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</w:pPr>
            <w:r w:rsidRPr="00F47D52">
              <w:rPr>
                <w:rFonts w:ascii="Times New Roman" w:hAnsi="Times New Roman"/>
                <w:b/>
              </w:rPr>
              <w:t xml:space="preserve">3. </w:t>
            </w:r>
            <w:r w:rsidR="002C778C" w:rsidRPr="00F47D52">
              <w:rPr>
                <w:rFonts w:ascii="Times New Roman" w:hAnsi="Times New Roman"/>
                <w:b/>
              </w:rPr>
              <w:t>Провести экономическую оценку имущества профильной организации</w:t>
            </w:r>
            <w:r w:rsidR="002C778C" w:rsidRPr="00F47D52">
              <w:rPr>
                <w:rFonts w:ascii="Times New Roman" w:hAnsi="Times New Roman"/>
                <w:b/>
                <w:bCs/>
              </w:rPr>
              <w:t xml:space="preserve">: </w:t>
            </w:r>
            <w:r w:rsidR="002C778C" w:rsidRPr="00F47D52">
              <w:rPr>
                <w:rFonts w:ascii="Times New Roman" w:hAnsi="Times New Roman"/>
              </w:rPr>
              <w:t>анализ собственных и заемных сре</w:t>
            </w:r>
            <w:proofErr w:type="gramStart"/>
            <w:r w:rsidR="002C778C" w:rsidRPr="00F47D52">
              <w:rPr>
                <w:rFonts w:ascii="Times New Roman" w:hAnsi="Times New Roman"/>
              </w:rPr>
              <w:t>дств пр</w:t>
            </w:r>
            <w:proofErr w:type="gramEnd"/>
            <w:r w:rsidR="002C778C" w:rsidRPr="00F47D52">
              <w:rPr>
                <w:rFonts w:ascii="Times New Roman" w:hAnsi="Times New Roman"/>
              </w:rPr>
              <w:t>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F47D52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6B50C0">
        <w:rPr>
          <w:b/>
          <w:sz w:val="16"/>
          <w:szCs w:val="16"/>
        </w:rPr>
        <w:t>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F47D5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F47D52">
        <w:rPr>
          <w:sz w:val="22"/>
          <w:szCs w:val="22"/>
        </w:rPr>
        <w:t>1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практическое пособие для вузов / Т. В. Пащенко.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179 с. — (Высшее образование). — ISBN 978-5-534-14201-3.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, 2021. — </w:t>
      </w:r>
      <w:r w:rsidRPr="00F47D52">
        <w:rPr>
          <w:color w:val="000000"/>
          <w:sz w:val="24"/>
          <w:szCs w:val="24"/>
          <w:shd w:val="clear" w:color="auto" w:fill="FFFFFF"/>
        </w:rPr>
        <w:lastRenderedPageBreak/>
        <w:t>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11C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anchor="open-accesshttps://www.sciencedirect.com/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F47D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Описать систему нормативного регулирования деятельности профильной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Провести экономическую оценку имущества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6B50C0">
              <w:rPr>
                <w:rFonts w:ascii="Times New Roman" w:hAnsi="Times New Roman"/>
              </w:rPr>
              <w:t>Выполнить индивидуальное задание по теме</w:t>
            </w:r>
            <w:r w:rsidRPr="006B50C0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0F6A5D" w:rsidP="006918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6B50C0">
        <w:rPr>
          <w:sz w:val="28"/>
          <w:szCs w:val="28"/>
        </w:rPr>
        <w:t>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A4993" w:rsidRPr="003F419D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0F6A5D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>
        <w:t>1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B50C0" w:rsidRPr="00AB1FBC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B50C0" w:rsidRPr="00222850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>
        <w:rPr>
          <w:color w:val="000000"/>
          <w:sz w:val="24"/>
          <w:szCs w:val="24"/>
        </w:rPr>
        <w:t>1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2D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организации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4D0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B4D09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AB4D09">
              <w:rPr>
                <w:sz w:val="24"/>
                <w:szCs w:val="24"/>
              </w:rPr>
              <w:t>экономическ</w:t>
            </w:r>
            <w:r>
              <w:rPr>
                <w:sz w:val="24"/>
                <w:szCs w:val="24"/>
              </w:rPr>
              <w:t>ой</w:t>
            </w:r>
            <w:r w:rsidRPr="00AB4D09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AB4D09">
              <w:rPr>
                <w:sz w:val="24"/>
                <w:szCs w:val="24"/>
              </w:rPr>
              <w:t xml:space="preserve"> имущества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57" w:rsidRDefault="00882957" w:rsidP="00160BC1">
      <w:r>
        <w:separator/>
      </w:r>
    </w:p>
  </w:endnote>
  <w:endnote w:type="continuationSeparator" w:id="0">
    <w:p w:rsidR="00882957" w:rsidRDefault="008829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57" w:rsidRDefault="00882957" w:rsidP="00160BC1">
      <w:r>
        <w:separator/>
      </w:r>
    </w:p>
  </w:footnote>
  <w:footnote w:type="continuationSeparator" w:id="0">
    <w:p w:rsidR="00882957" w:rsidRDefault="008829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28"/>
  </w:num>
  <w:num w:numId="5">
    <w:abstractNumId w:val="35"/>
  </w:num>
  <w:num w:numId="6">
    <w:abstractNumId w:val="2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0"/>
  </w:num>
  <w:num w:numId="17">
    <w:abstractNumId w:val="31"/>
  </w:num>
  <w:num w:numId="18">
    <w:abstractNumId w:val="32"/>
  </w:num>
  <w:num w:numId="19">
    <w:abstractNumId w:val="33"/>
  </w:num>
  <w:num w:numId="20">
    <w:abstractNumId w:val="36"/>
  </w:num>
  <w:num w:numId="21">
    <w:abstractNumId w:val="21"/>
  </w:num>
  <w:num w:numId="22">
    <w:abstractNumId w:val="19"/>
  </w:num>
  <w:num w:numId="23">
    <w:abstractNumId w:val="22"/>
  </w:num>
  <w:num w:numId="24">
    <w:abstractNumId w:val="0"/>
  </w:num>
  <w:num w:numId="25">
    <w:abstractNumId w:val="17"/>
  </w:num>
  <w:num w:numId="26">
    <w:abstractNumId w:val="3"/>
  </w:num>
  <w:num w:numId="27">
    <w:abstractNumId w:val="34"/>
  </w:num>
  <w:num w:numId="28">
    <w:abstractNumId w:val="30"/>
  </w:num>
  <w:num w:numId="29">
    <w:abstractNumId w:val="4"/>
  </w:num>
  <w:num w:numId="30">
    <w:abstractNumId w:val="1"/>
  </w:num>
  <w:num w:numId="31">
    <w:abstractNumId w:val="18"/>
  </w:num>
  <w:num w:numId="32">
    <w:abstractNumId w:val="29"/>
  </w:num>
  <w:num w:numId="33">
    <w:abstractNumId w:val="27"/>
  </w:num>
  <w:num w:numId="34">
    <w:abstractNumId w:val="9"/>
  </w:num>
  <w:num w:numId="35">
    <w:abstractNumId w:val="14"/>
  </w:num>
  <w:num w:numId="36">
    <w:abstractNumId w:val="6"/>
  </w:num>
  <w:num w:numId="37">
    <w:abstractNumId w:val="24"/>
  </w:num>
  <w:num w:numId="38">
    <w:abstractNumId w:val="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4AB8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0F6A5D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4540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3D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C66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26D1"/>
    <w:rsid w:val="00624E28"/>
    <w:rsid w:val="00625B4A"/>
    <w:rsid w:val="0063601F"/>
    <w:rsid w:val="00642A2F"/>
    <w:rsid w:val="006436C2"/>
    <w:rsid w:val="006439F4"/>
    <w:rsid w:val="006504AB"/>
    <w:rsid w:val="0065606F"/>
    <w:rsid w:val="00656947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07608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9B1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3434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82957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0A04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1ED6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1B0E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4D11"/>
    <w:rsid w:val="00C552AE"/>
    <w:rsid w:val="00C55E91"/>
    <w:rsid w:val="00C65A26"/>
    <w:rsid w:val="00C70CA1"/>
    <w:rsid w:val="00C763B7"/>
    <w:rsid w:val="00C80896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44E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A613A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A9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0547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870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6044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B1B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8715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dum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064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59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746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30BB-7EBC-468F-AF01-CE6E8BD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9414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62955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5</cp:revision>
  <cp:lastPrinted>2020-06-11T07:00:00Z</cp:lastPrinted>
  <dcterms:created xsi:type="dcterms:W3CDTF">2023-04-17T07:25:00Z</dcterms:created>
  <dcterms:modified xsi:type="dcterms:W3CDTF">2024-04-03T03:17:00Z</dcterms:modified>
</cp:coreProperties>
</file>